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DCD" w:rsidRDefault="00083DCD" w:rsidP="00083DCD">
      <w:pPr>
        <w:jc w:val="left"/>
        <w:rPr>
          <w:rFonts w:ascii="仿宋_GB2312" w:eastAsia="仿宋_GB2312" w:hAnsi="华文中宋" w:hint="eastAsia"/>
          <w:sz w:val="32"/>
          <w:szCs w:val="32"/>
        </w:rPr>
      </w:pPr>
      <w:r w:rsidRPr="00083DCD">
        <w:rPr>
          <w:rFonts w:ascii="仿宋_GB2312" w:eastAsia="仿宋_GB2312" w:hAnsi="华文中宋" w:hint="eastAsia"/>
          <w:sz w:val="32"/>
          <w:szCs w:val="32"/>
        </w:rPr>
        <w:t>附件2：</w:t>
      </w:r>
    </w:p>
    <w:p w:rsidR="007C6C7D" w:rsidRPr="00083DCD" w:rsidRDefault="007C6C7D" w:rsidP="00083DCD">
      <w:pPr>
        <w:jc w:val="left"/>
        <w:rPr>
          <w:rFonts w:ascii="仿宋_GB2312" w:eastAsia="仿宋_GB2312" w:hAnsi="华文中宋" w:hint="eastAsia"/>
          <w:sz w:val="32"/>
          <w:szCs w:val="32"/>
        </w:rPr>
      </w:pPr>
    </w:p>
    <w:p w:rsidR="00083DCD" w:rsidRPr="00083DCD" w:rsidRDefault="00083DCD" w:rsidP="00083DCD">
      <w:pPr>
        <w:jc w:val="center"/>
        <w:rPr>
          <w:rFonts w:ascii="华文中宋" w:eastAsia="华文中宋" w:hAnsi="华文中宋" w:hint="eastAsia"/>
          <w:sz w:val="36"/>
          <w:szCs w:val="36"/>
        </w:rPr>
      </w:pPr>
      <w:r w:rsidRPr="00083DCD">
        <w:rPr>
          <w:rFonts w:ascii="华文中宋" w:eastAsia="华文中宋" w:hAnsi="华文中宋" w:hint="eastAsia"/>
          <w:sz w:val="36"/>
          <w:szCs w:val="36"/>
        </w:rPr>
        <w:t>关于《政府会计准则制度解释第2号（征求意见稿）》的说明</w:t>
      </w:r>
    </w:p>
    <w:p w:rsidR="00083DCD" w:rsidRPr="007C6C7D" w:rsidRDefault="00083DCD" w:rsidP="00083DCD">
      <w:pPr>
        <w:spacing w:line="360" w:lineRule="auto"/>
        <w:ind w:firstLineChars="200" w:firstLine="640"/>
        <w:rPr>
          <w:rFonts w:ascii="仿宋_GB2312" w:eastAsia="仿宋_GB2312" w:hAnsi="宋体" w:cs="Arial" w:hint="eastAsia"/>
          <w:color w:val="333333"/>
          <w:sz w:val="32"/>
          <w:szCs w:val="32"/>
        </w:rPr>
      </w:pPr>
    </w:p>
    <w:p w:rsidR="00083DCD" w:rsidRDefault="00083DCD" w:rsidP="00083DCD">
      <w:pPr>
        <w:spacing w:line="360" w:lineRule="auto"/>
        <w:ind w:firstLineChars="200" w:firstLine="640"/>
        <w:rPr>
          <w:rFonts w:ascii="仿宋_GB2312" w:eastAsia="仿宋_GB2312" w:hAnsi="宋体" w:cs="Arial" w:hint="eastAsia"/>
          <w:color w:val="333333"/>
          <w:sz w:val="32"/>
          <w:szCs w:val="32"/>
        </w:rPr>
      </w:pPr>
      <w:r>
        <w:rPr>
          <w:rFonts w:ascii="仿宋_GB2312" w:eastAsia="仿宋_GB2312" w:hAnsi="宋体" w:cs="Arial" w:hint="eastAsia"/>
          <w:color w:val="333333"/>
          <w:sz w:val="32"/>
          <w:szCs w:val="32"/>
        </w:rPr>
        <w:t>为了健全和完善政府会计准则制度体系，确保政府会计准则制度平稳有效实施，我们在前期调研基础上，研究起草了《政府会计准则制度解释第2号（征求意见稿）》（以下简称《解释2号》，有关情况说明如下：</w:t>
      </w:r>
    </w:p>
    <w:p w:rsidR="00083DCD" w:rsidRDefault="00083DCD" w:rsidP="00083DCD">
      <w:pPr>
        <w:spacing w:line="360" w:lineRule="auto"/>
        <w:ind w:firstLineChars="200" w:firstLine="640"/>
        <w:rPr>
          <w:rFonts w:ascii="黑体" w:eastAsia="黑体" w:hAnsi="黑体" w:cs="黑体" w:hint="eastAsia"/>
          <w:color w:val="333333"/>
          <w:sz w:val="32"/>
          <w:szCs w:val="32"/>
        </w:rPr>
      </w:pPr>
      <w:r>
        <w:rPr>
          <w:rFonts w:ascii="黑体" w:eastAsia="黑体" w:hAnsi="黑体" w:cs="黑体" w:hint="eastAsia"/>
          <w:color w:val="333333"/>
          <w:sz w:val="32"/>
          <w:szCs w:val="32"/>
        </w:rPr>
        <w:t>一、起草背景</w:t>
      </w:r>
    </w:p>
    <w:p w:rsidR="00083DCD" w:rsidRDefault="00083DCD" w:rsidP="00083DCD">
      <w:pPr>
        <w:spacing w:line="360" w:lineRule="auto"/>
        <w:ind w:firstLineChars="200" w:firstLine="640"/>
        <w:rPr>
          <w:rFonts w:ascii="仿宋_GB2312" w:eastAsia="仿宋_GB2312" w:hAnsi="宋体" w:cs="Arial"/>
          <w:color w:val="333333"/>
          <w:sz w:val="32"/>
          <w:szCs w:val="32"/>
        </w:rPr>
      </w:pPr>
      <w:r>
        <w:rPr>
          <w:rFonts w:ascii="仿宋_GB2312" w:eastAsia="仿宋_GB2312" w:hAnsi="宋体" w:cs="Arial" w:hint="eastAsia"/>
          <w:color w:val="333333"/>
          <w:sz w:val="32"/>
          <w:szCs w:val="32"/>
        </w:rPr>
        <w:t>研究制定《解释2号》，主要目的有以下几个方面：</w:t>
      </w:r>
    </w:p>
    <w:p w:rsidR="00083DCD" w:rsidRDefault="00083DCD" w:rsidP="00083DCD">
      <w:pPr>
        <w:spacing w:line="360" w:lineRule="auto"/>
        <w:ind w:firstLineChars="200" w:firstLine="643"/>
        <w:rPr>
          <w:rFonts w:ascii="仿宋_GB2312" w:eastAsia="仿宋_GB2312" w:hAnsi="宋体" w:cs="Arial"/>
          <w:color w:val="333333"/>
          <w:sz w:val="32"/>
          <w:szCs w:val="32"/>
        </w:rPr>
      </w:pPr>
      <w:r>
        <w:rPr>
          <w:rFonts w:ascii="仿宋_GB2312" w:eastAsia="仿宋_GB2312" w:hAnsi="宋体" w:cs="Arial" w:hint="eastAsia"/>
          <w:b/>
          <w:color w:val="333333"/>
          <w:sz w:val="32"/>
          <w:szCs w:val="32"/>
        </w:rPr>
        <w:t>一是为了及时解决</w:t>
      </w:r>
      <w:r w:rsidR="007C6C7D">
        <w:rPr>
          <w:rFonts w:ascii="仿宋_GB2312" w:eastAsia="仿宋_GB2312" w:hAnsi="宋体" w:cs="Arial" w:hint="eastAsia"/>
          <w:b/>
          <w:color w:val="333333"/>
          <w:sz w:val="32"/>
          <w:szCs w:val="32"/>
        </w:rPr>
        <w:t>政府会计准则制度实施过程中有关各方</w:t>
      </w:r>
      <w:r>
        <w:rPr>
          <w:rFonts w:ascii="仿宋_GB2312" w:eastAsia="仿宋_GB2312" w:hAnsi="宋体" w:cs="Arial" w:hint="eastAsia"/>
          <w:b/>
          <w:color w:val="333333"/>
          <w:sz w:val="32"/>
          <w:szCs w:val="32"/>
        </w:rPr>
        <w:t>提出的问题。</w:t>
      </w:r>
      <w:r>
        <w:rPr>
          <w:rFonts w:ascii="仿宋_GB2312" w:eastAsia="仿宋_GB2312" w:hAnsi="宋体" w:cs="Arial" w:hint="eastAsia"/>
          <w:color w:val="333333"/>
          <w:sz w:val="32"/>
          <w:szCs w:val="32"/>
        </w:rPr>
        <w:t>政府会计准则制度自2019年1月1日起在各级各类行政事业单位全面实施，为了及时回应和</w:t>
      </w:r>
      <w:r w:rsidR="007C6C7D">
        <w:rPr>
          <w:rFonts w:ascii="仿宋_GB2312" w:eastAsia="仿宋_GB2312" w:hAnsi="宋体" w:cs="Arial" w:hint="eastAsia"/>
          <w:color w:val="333333"/>
          <w:sz w:val="32"/>
          <w:szCs w:val="32"/>
        </w:rPr>
        <w:t>解决</w:t>
      </w:r>
      <w:r>
        <w:rPr>
          <w:rFonts w:ascii="仿宋_GB2312" w:eastAsia="仿宋_GB2312" w:hAnsi="宋体" w:cs="Arial" w:hint="eastAsia"/>
          <w:color w:val="333333"/>
          <w:sz w:val="32"/>
          <w:szCs w:val="32"/>
        </w:rPr>
        <w:t>政府会计准则制度实施中的问题，我们在</w:t>
      </w:r>
      <w:r w:rsidR="007C6C7D">
        <w:rPr>
          <w:rFonts w:ascii="仿宋_GB2312" w:eastAsia="仿宋_GB2312" w:hAnsi="宋体" w:cs="Arial" w:hint="eastAsia"/>
          <w:color w:val="333333"/>
          <w:sz w:val="32"/>
          <w:szCs w:val="32"/>
        </w:rPr>
        <w:t>7月份</w:t>
      </w:r>
      <w:r>
        <w:rPr>
          <w:rFonts w:ascii="仿宋_GB2312" w:eastAsia="仿宋_GB2312" w:hAnsi="宋体" w:cs="Arial" w:hint="eastAsia"/>
          <w:color w:val="333333"/>
          <w:sz w:val="32"/>
          <w:szCs w:val="32"/>
        </w:rPr>
        <w:t>制定发布了《政府会计准则制度解释第1号》。</w:t>
      </w:r>
      <w:r w:rsidR="007C6C7D">
        <w:rPr>
          <w:rFonts w:ascii="仿宋_GB2312" w:eastAsia="仿宋_GB2312" w:hAnsi="宋体" w:cs="Arial" w:hint="eastAsia"/>
          <w:color w:val="333333"/>
          <w:sz w:val="32"/>
          <w:szCs w:val="32"/>
        </w:rPr>
        <w:t>7月份以来</w:t>
      </w:r>
      <w:r>
        <w:rPr>
          <w:rFonts w:ascii="仿宋_GB2312" w:eastAsia="仿宋_GB2312" w:hAnsi="宋体" w:cs="Arial" w:hint="eastAsia"/>
          <w:color w:val="333333"/>
          <w:sz w:val="32"/>
          <w:szCs w:val="32"/>
        </w:rPr>
        <w:t>，有关部门、单位</w:t>
      </w:r>
      <w:r w:rsidR="007C6C7D">
        <w:rPr>
          <w:rFonts w:ascii="仿宋_GB2312" w:eastAsia="仿宋_GB2312" w:hAnsi="宋体" w:cs="Arial" w:hint="eastAsia"/>
          <w:color w:val="333333"/>
          <w:sz w:val="32"/>
          <w:szCs w:val="32"/>
        </w:rPr>
        <w:t>和基层会计人员</w:t>
      </w:r>
      <w:r>
        <w:rPr>
          <w:rFonts w:ascii="仿宋_GB2312" w:eastAsia="仿宋_GB2312" w:hAnsi="宋体" w:cs="Arial" w:hint="eastAsia"/>
          <w:color w:val="333333"/>
          <w:sz w:val="32"/>
          <w:szCs w:val="32"/>
        </w:rPr>
        <w:t>通过多种方式又向我们反映了制度实施中的一些问题，</w:t>
      </w:r>
      <w:r w:rsidR="007C6C7D">
        <w:rPr>
          <w:rFonts w:ascii="仿宋_GB2312" w:eastAsia="仿宋_GB2312" w:hAnsi="宋体" w:cs="Arial" w:hint="eastAsia"/>
          <w:color w:val="333333"/>
          <w:sz w:val="32"/>
          <w:szCs w:val="32"/>
        </w:rPr>
        <w:t>其中有部分</w:t>
      </w:r>
      <w:r>
        <w:rPr>
          <w:rFonts w:ascii="仿宋_GB2312" w:eastAsia="仿宋_GB2312" w:hAnsi="宋体" w:cs="Arial" w:hint="eastAsia"/>
          <w:color w:val="333333"/>
          <w:sz w:val="32"/>
          <w:szCs w:val="32"/>
        </w:rPr>
        <w:t>问题具有一定的普遍性，很有必要通过解释予以明确。</w:t>
      </w:r>
    </w:p>
    <w:p w:rsidR="00083DCD" w:rsidRDefault="00083DCD" w:rsidP="00083DCD">
      <w:pPr>
        <w:spacing w:line="360" w:lineRule="auto"/>
        <w:ind w:firstLineChars="200" w:firstLine="643"/>
        <w:rPr>
          <w:rFonts w:ascii="仿宋_GB2312" w:eastAsia="仿宋_GB2312" w:hAnsi="宋体" w:cs="Arial"/>
          <w:color w:val="333333"/>
          <w:sz w:val="32"/>
          <w:szCs w:val="32"/>
        </w:rPr>
      </w:pPr>
      <w:r>
        <w:rPr>
          <w:rFonts w:ascii="仿宋_GB2312" w:eastAsia="仿宋_GB2312" w:hAnsi="宋体" w:cs="Arial" w:hint="eastAsia"/>
          <w:b/>
          <w:color w:val="333333"/>
          <w:sz w:val="32"/>
          <w:szCs w:val="32"/>
        </w:rPr>
        <w:t>二是为了对政府会计准则制度相关内容做进一步的解释说明。</w:t>
      </w:r>
      <w:r>
        <w:rPr>
          <w:rFonts w:ascii="仿宋_GB2312" w:eastAsia="仿宋_GB2312" w:hAnsi="宋体" w:cs="Arial" w:hint="eastAsia"/>
          <w:color w:val="333333"/>
          <w:sz w:val="32"/>
          <w:szCs w:val="32"/>
        </w:rPr>
        <w:t>在已经印发的政府会计准则制度中，有关规定较为原则或可操作性不强，会计人员在学习和具体应用时对同一问题可能会出现不同理解，如果</w:t>
      </w:r>
      <w:proofErr w:type="gramStart"/>
      <w:r>
        <w:rPr>
          <w:rFonts w:ascii="仿宋_GB2312" w:eastAsia="仿宋_GB2312" w:hAnsi="宋体" w:cs="Arial" w:hint="eastAsia"/>
          <w:color w:val="333333"/>
          <w:sz w:val="32"/>
          <w:szCs w:val="32"/>
        </w:rPr>
        <w:t>不</w:t>
      </w:r>
      <w:proofErr w:type="gramEnd"/>
      <w:r>
        <w:rPr>
          <w:rFonts w:ascii="仿宋_GB2312" w:eastAsia="仿宋_GB2312" w:hAnsi="宋体" w:cs="Arial" w:hint="eastAsia"/>
          <w:color w:val="333333"/>
          <w:sz w:val="32"/>
          <w:szCs w:val="32"/>
        </w:rPr>
        <w:t>对此类问题做进一步的解释说明，不仅会影响到会计信息的可比性，也会导致会计人员无所适从。</w:t>
      </w:r>
    </w:p>
    <w:p w:rsidR="00083DCD" w:rsidRDefault="00083DCD" w:rsidP="00083DCD">
      <w:pPr>
        <w:spacing w:line="360" w:lineRule="auto"/>
        <w:ind w:firstLineChars="200" w:firstLine="643"/>
        <w:rPr>
          <w:rFonts w:ascii="仿宋_GB2312" w:eastAsia="仿宋_GB2312" w:hAnsi="宋体" w:cs="Arial"/>
          <w:color w:val="333333"/>
          <w:sz w:val="32"/>
          <w:szCs w:val="32"/>
        </w:rPr>
      </w:pPr>
      <w:r>
        <w:rPr>
          <w:rFonts w:ascii="仿宋_GB2312" w:eastAsia="仿宋_GB2312" w:hAnsi="宋体" w:cs="Arial" w:hint="eastAsia"/>
          <w:b/>
          <w:color w:val="333333"/>
          <w:sz w:val="32"/>
          <w:szCs w:val="32"/>
        </w:rPr>
        <w:t>三是为了补充和完善政府会计准则制度中的相关规定</w:t>
      </w:r>
      <w:r>
        <w:rPr>
          <w:rFonts w:ascii="仿宋_GB2312" w:eastAsia="仿宋_GB2312" w:hAnsi="宋体" w:cs="Arial" w:hint="eastAsia"/>
          <w:color w:val="333333"/>
          <w:sz w:val="32"/>
          <w:szCs w:val="32"/>
        </w:rPr>
        <w:t>。在政府会计准则制度实施过程中，实务中出现了一些新的问题或者新的情况，导致已经印发的政府会计准则制度的相关规定难以满足实务需要，但这些问题在短时间内又不能通过制定具体准则或应用指南的形式予以规范，因此亟需通过解释形式对有关规定做出补充或完善。</w:t>
      </w:r>
    </w:p>
    <w:p w:rsidR="00083DCD" w:rsidRDefault="00083DCD" w:rsidP="00083DCD">
      <w:pPr>
        <w:spacing w:line="360" w:lineRule="auto"/>
        <w:ind w:firstLineChars="200" w:firstLine="640"/>
        <w:rPr>
          <w:rFonts w:ascii="黑体" w:eastAsia="黑体" w:hAnsi="黑体" w:cs="黑体" w:hint="eastAsia"/>
          <w:color w:val="333333"/>
          <w:sz w:val="32"/>
          <w:szCs w:val="32"/>
        </w:rPr>
      </w:pPr>
      <w:r>
        <w:rPr>
          <w:rFonts w:ascii="黑体" w:eastAsia="黑体" w:hAnsi="黑体" w:cs="黑体" w:hint="eastAsia"/>
          <w:color w:val="333333"/>
          <w:sz w:val="32"/>
          <w:szCs w:val="32"/>
        </w:rPr>
        <w:t>二、起草过程</w:t>
      </w:r>
    </w:p>
    <w:p w:rsidR="00083DCD" w:rsidRDefault="00083DCD" w:rsidP="00083DCD">
      <w:pPr>
        <w:spacing w:line="360" w:lineRule="auto"/>
        <w:ind w:firstLineChars="200" w:firstLine="640"/>
        <w:rPr>
          <w:rFonts w:ascii="仿宋_GB2312" w:eastAsia="仿宋_GB2312" w:hAnsi="宋体" w:cs="Arial"/>
          <w:color w:val="333333"/>
          <w:sz w:val="32"/>
          <w:szCs w:val="32"/>
        </w:rPr>
      </w:pPr>
      <w:r>
        <w:rPr>
          <w:rFonts w:ascii="仿宋_GB2312" w:eastAsia="仿宋_GB2312" w:hAnsi="宋体" w:cs="Arial" w:hint="eastAsia"/>
          <w:color w:val="333333"/>
          <w:sz w:val="32"/>
          <w:szCs w:val="32"/>
        </w:rPr>
        <w:t>截至目前，《解释2号》的起草主要经历了以下过程：</w:t>
      </w:r>
    </w:p>
    <w:p w:rsidR="00083DCD" w:rsidRDefault="00083DCD" w:rsidP="00083DCD">
      <w:pPr>
        <w:spacing w:line="360" w:lineRule="auto"/>
        <w:ind w:firstLineChars="200" w:firstLine="643"/>
        <w:rPr>
          <w:rFonts w:ascii="仿宋_GB2312" w:eastAsia="仿宋_GB2312" w:hAnsi="宋体" w:cs="Arial"/>
          <w:color w:val="333333"/>
          <w:sz w:val="32"/>
          <w:szCs w:val="32"/>
        </w:rPr>
      </w:pPr>
      <w:r>
        <w:rPr>
          <w:rFonts w:ascii="仿宋_GB2312" w:eastAsia="仿宋_GB2312" w:hAnsi="宋体" w:cs="Arial" w:hint="eastAsia"/>
          <w:b/>
          <w:color w:val="333333"/>
          <w:sz w:val="32"/>
          <w:szCs w:val="32"/>
        </w:rPr>
        <w:t>（一）调查研究和梳理问题阶段。</w:t>
      </w:r>
      <w:r>
        <w:rPr>
          <w:rFonts w:ascii="仿宋_GB2312" w:eastAsia="仿宋_GB2312" w:hAnsi="宋体" w:cs="Arial" w:hint="eastAsia"/>
          <w:color w:val="333333"/>
          <w:sz w:val="32"/>
          <w:szCs w:val="32"/>
        </w:rPr>
        <w:t>今年6至8月，我们结合“不忘初心，牢记使命”主题教育活动，围绕政府会计准则制度实施赴海南、云南、山西、辽宁、安徽等地进行了调研，并通过问卷形式全面了解各省（区、市）政府会计准则制度实施情况，在此基础上，分析梳理了政府会计准则制度新旧衔接及实施中各方反馈比较集中的问题，初步确定了《解释2号》</w:t>
      </w:r>
      <w:proofErr w:type="gramStart"/>
      <w:r>
        <w:rPr>
          <w:rFonts w:ascii="仿宋_GB2312" w:eastAsia="仿宋_GB2312" w:hAnsi="宋体" w:cs="Arial" w:hint="eastAsia"/>
          <w:color w:val="333333"/>
          <w:sz w:val="32"/>
          <w:szCs w:val="32"/>
        </w:rPr>
        <w:t>拟规范</w:t>
      </w:r>
      <w:proofErr w:type="gramEnd"/>
      <w:r>
        <w:rPr>
          <w:rFonts w:ascii="仿宋_GB2312" w:eastAsia="仿宋_GB2312" w:hAnsi="宋体" w:cs="Arial" w:hint="eastAsia"/>
          <w:color w:val="333333"/>
          <w:sz w:val="32"/>
          <w:szCs w:val="32"/>
        </w:rPr>
        <w:t>的问题清单。</w:t>
      </w:r>
    </w:p>
    <w:p w:rsidR="00083DCD" w:rsidRDefault="00083DCD" w:rsidP="00083DCD">
      <w:pPr>
        <w:spacing w:line="360" w:lineRule="auto"/>
        <w:ind w:firstLineChars="200" w:firstLine="643"/>
        <w:rPr>
          <w:rFonts w:ascii="仿宋_GB2312" w:eastAsia="仿宋_GB2312" w:hAnsi="宋体" w:cs="Arial" w:hint="eastAsia"/>
          <w:color w:val="333333"/>
          <w:sz w:val="32"/>
          <w:szCs w:val="32"/>
        </w:rPr>
      </w:pPr>
      <w:r>
        <w:rPr>
          <w:rFonts w:ascii="仿宋_GB2312" w:eastAsia="仿宋_GB2312" w:hAnsi="宋体" w:cs="Arial" w:hint="eastAsia"/>
          <w:b/>
          <w:color w:val="333333"/>
          <w:sz w:val="32"/>
          <w:szCs w:val="32"/>
        </w:rPr>
        <w:t>（二）形成讨论稿阶段</w:t>
      </w:r>
      <w:r>
        <w:rPr>
          <w:rFonts w:ascii="仿宋_GB2312" w:eastAsia="仿宋_GB2312" w:hAnsi="宋体" w:cs="Arial" w:hint="eastAsia"/>
          <w:color w:val="333333"/>
          <w:sz w:val="32"/>
          <w:szCs w:val="32"/>
        </w:rPr>
        <w:t>。8月份以来，我们围绕问题清单逐项进行了研究，对部分经济业务和事项的会计处理形成了初步结论。与此同时，我们会同全国总工会、民政部、教育部和部内相关司局就工会会计、民间非营利组织会计和部门（单位）合并报表问题进行了深入讨论和研究；组织中直管理局、国管局、水利部、交通运输部和海南省财政厅、厦门市财政局等单位召开座谈会，就基本建设会计问题进行专题研究讨论；会同</w:t>
      </w:r>
      <w:r w:rsidR="007C6C7D">
        <w:rPr>
          <w:rFonts w:ascii="仿宋_GB2312" w:eastAsia="仿宋_GB2312" w:hAnsi="宋体" w:cs="Arial" w:hint="eastAsia"/>
          <w:color w:val="333333"/>
          <w:sz w:val="32"/>
          <w:szCs w:val="32"/>
        </w:rPr>
        <w:t>国家体育总局体育彩票</w:t>
      </w:r>
      <w:r>
        <w:rPr>
          <w:rFonts w:ascii="仿宋_GB2312" w:eastAsia="仿宋_GB2312" w:hAnsi="宋体" w:cs="Arial" w:hint="eastAsia"/>
          <w:color w:val="333333"/>
          <w:sz w:val="32"/>
          <w:szCs w:val="32"/>
        </w:rPr>
        <w:t>中心对纸质即开型库存彩票问题进行了研究；积极借助政府会计准则委员会咨询专家的力量，对差旅伙食费和市内交通费、</w:t>
      </w:r>
      <w:proofErr w:type="gramStart"/>
      <w:r>
        <w:rPr>
          <w:rFonts w:ascii="仿宋_GB2312" w:eastAsia="仿宋_GB2312" w:hAnsi="宋体" w:cs="Arial" w:hint="eastAsia"/>
          <w:color w:val="333333"/>
          <w:sz w:val="32"/>
          <w:szCs w:val="32"/>
        </w:rPr>
        <w:t>归垫资金</w:t>
      </w:r>
      <w:proofErr w:type="gramEnd"/>
      <w:r>
        <w:rPr>
          <w:rFonts w:ascii="仿宋_GB2312" w:eastAsia="仿宋_GB2312" w:hAnsi="宋体" w:cs="Arial" w:hint="eastAsia"/>
          <w:color w:val="333333"/>
          <w:sz w:val="32"/>
          <w:szCs w:val="32"/>
        </w:rPr>
        <w:t>、零余额账户提现等问题进行了深入研究，在此基础上，形成了《解释2号》讨论稿。</w:t>
      </w:r>
    </w:p>
    <w:p w:rsidR="00083DCD" w:rsidRDefault="00083DCD" w:rsidP="00083DCD">
      <w:pPr>
        <w:spacing w:line="360" w:lineRule="auto"/>
        <w:ind w:firstLineChars="200" w:firstLine="643"/>
        <w:rPr>
          <w:rFonts w:ascii="仿宋_GB2312" w:eastAsia="仿宋_GB2312" w:hAnsi="宋体" w:cs="Arial" w:hint="eastAsia"/>
          <w:color w:val="333333"/>
          <w:sz w:val="32"/>
          <w:szCs w:val="32"/>
        </w:rPr>
      </w:pPr>
      <w:r>
        <w:rPr>
          <w:rFonts w:ascii="仿宋_GB2312" w:eastAsia="仿宋_GB2312" w:hAnsi="宋体" w:cs="Arial" w:hint="eastAsia"/>
          <w:b/>
          <w:bCs/>
          <w:color w:val="333333"/>
          <w:sz w:val="32"/>
          <w:szCs w:val="32"/>
        </w:rPr>
        <w:t>（三）</w:t>
      </w:r>
      <w:r w:rsidR="007C6C7D">
        <w:rPr>
          <w:rFonts w:ascii="仿宋_GB2312" w:eastAsia="仿宋_GB2312" w:hAnsi="宋体" w:cs="Arial" w:hint="eastAsia"/>
          <w:b/>
          <w:bCs/>
          <w:color w:val="333333"/>
          <w:sz w:val="32"/>
          <w:szCs w:val="32"/>
        </w:rPr>
        <w:t>形成</w:t>
      </w:r>
      <w:r>
        <w:rPr>
          <w:rFonts w:ascii="仿宋_GB2312" w:eastAsia="仿宋_GB2312" w:hAnsi="宋体" w:cs="Arial" w:hint="eastAsia"/>
          <w:b/>
          <w:bCs/>
          <w:color w:val="333333"/>
          <w:sz w:val="32"/>
          <w:szCs w:val="32"/>
        </w:rPr>
        <w:t>征求意见稿阶段。</w:t>
      </w:r>
      <w:r>
        <w:rPr>
          <w:rFonts w:ascii="仿宋_GB2312" w:eastAsia="仿宋_GB2312" w:hAnsi="宋体" w:cs="Arial" w:hint="eastAsia"/>
          <w:color w:val="333333"/>
          <w:sz w:val="32"/>
          <w:szCs w:val="32"/>
        </w:rPr>
        <w:t>近期，我们</w:t>
      </w:r>
      <w:r w:rsidR="007C6C7D">
        <w:rPr>
          <w:rFonts w:ascii="仿宋_GB2312" w:eastAsia="仿宋_GB2312" w:hAnsi="宋体" w:cs="Arial" w:hint="eastAsia"/>
          <w:color w:val="333333"/>
          <w:sz w:val="32"/>
          <w:szCs w:val="32"/>
        </w:rPr>
        <w:t>在司内</w:t>
      </w:r>
      <w:r>
        <w:rPr>
          <w:rFonts w:ascii="仿宋_GB2312" w:eastAsia="仿宋_GB2312" w:hAnsi="宋体" w:cs="Arial" w:hint="eastAsia"/>
          <w:color w:val="333333"/>
          <w:sz w:val="32"/>
          <w:szCs w:val="32"/>
        </w:rPr>
        <w:t>对《解释2号》讨论稿进行充分讨论，并通过电话、邮件等方式就其中相关问题与有关实务专家进行沟通交流，在此基础上形成了《解释2号》征求意见稿草案</w:t>
      </w:r>
      <w:r w:rsidR="007C6C7D">
        <w:rPr>
          <w:rFonts w:ascii="仿宋_GB2312" w:eastAsia="仿宋_GB2312" w:hAnsi="宋体" w:cs="Arial" w:hint="eastAsia"/>
          <w:color w:val="333333"/>
          <w:sz w:val="32"/>
          <w:szCs w:val="32"/>
        </w:rPr>
        <w:t>。9月25日，</w:t>
      </w:r>
      <w:r>
        <w:rPr>
          <w:rFonts w:ascii="仿宋_GB2312" w:eastAsia="仿宋_GB2312" w:hAnsi="宋体" w:cs="Arial" w:hint="eastAsia"/>
          <w:color w:val="333333"/>
          <w:sz w:val="32"/>
          <w:szCs w:val="32"/>
        </w:rPr>
        <w:t>会计</w:t>
      </w:r>
      <w:proofErr w:type="gramStart"/>
      <w:r>
        <w:rPr>
          <w:rFonts w:ascii="仿宋_GB2312" w:eastAsia="仿宋_GB2312" w:hAnsi="宋体" w:cs="Arial" w:hint="eastAsia"/>
          <w:color w:val="333333"/>
          <w:sz w:val="32"/>
          <w:szCs w:val="32"/>
        </w:rPr>
        <w:t>司技术</w:t>
      </w:r>
      <w:proofErr w:type="gramEnd"/>
      <w:r>
        <w:rPr>
          <w:rFonts w:ascii="仿宋_GB2312" w:eastAsia="仿宋_GB2312" w:hAnsi="宋体" w:cs="Arial" w:hint="eastAsia"/>
          <w:color w:val="333333"/>
          <w:sz w:val="32"/>
          <w:szCs w:val="32"/>
        </w:rPr>
        <w:t>小组</w:t>
      </w:r>
      <w:r w:rsidR="007C6C7D">
        <w:rPr>
          <w:rFonts w:ascii="仿宋_GB2312" w:eastAsia="仿宋_GB2312" w:hAnsi="宋体" w:cs="Arial" w:hint="eastAsia"/>
          <w:color w:val="333333"/>
          <w:sz w:val="32"/>
          <w:szCs w:val="32"/>
        </w:rPr>
        <w:t>对草案</w:t>
      </w:r>
      <w:r w:rsidR="00480457">
        <w:rPr>
          <w:rFonts w:ascii="仿宋_GB2312" w:eastAsia="仿宋_GB2312" w:hAnsi="宋体" w:cs="Arial" w:hint="eastAsia"/>
          <w:color w:val="333333"/>
          <w:sz w:val="32"/>
          <w:szCs w:val="32"/>
        </w:rPr>
        <w:t>讨论</w:t>
      </w:r>
      <w:r w:rsidR="001A1401">
        <w:rPr>
          <w:rFonts w:ascii="仿宋_GB2312" w:eastAsia="仿宋_GB2312" w:hAnsi="宋体" w:cs="Arial" w:hint="eastAsia"/>
          <w:color w:val="333333"/>
          <w:sz w:val="32"/>
          <w:szCs w:val="32"/>
        </w:rPr>
        <w:t>通过后</w:t>
      </w:r>
      <w:r w:rsidR="007C6C7D">
        <w:rPr>
          <w:rFonts w:ascii="仿宋_GB2312" w:eastAsia="仿宋_GB2312" w:hAnsi="宋体" w:cs="Arial" w:hint="eastAsia"/>
          <w:color w:val="333333"/>
          <w:sz w:val="32"/>
          <w:szCs w:val="32"/>
        </w:rPr>
        <w:t>，形成了《解释2号》征求意见稿</w:t>
      </w:r>
      <w:r>
        <w:rPr>
          <w:rFonts w:ascii="仿宋_GB2312" w:eastAsia="仿宋_GB2312" w:hAnsi="宋体" w:cs="Arial" w:hint="eastAsia"/>
          <w:color w:val="333333"/>
          <w:sz w:val="32"/>
          <w:szCs w:val="32"/>
        </w:rPr>
        <w:t>。</w:t>
      </w:r>
    </w:p>
    <w:p w:rsidR="00083DCD" w:rsidRDefault="00083DCD" w:rsidP="00083DCD">
      <w:pPr>
        <w:spacing w:line="360" w:lineRule="auto"/>
        <w:ind w:firstLineChars="200" w:firstLine="640"/>
        <w:rPr>
          <w:rFonts w:ascii="黑体" w:eastAsia="黑体" w:hAnsi="黑体" w:cs="黑体" w:hint="eastAsia"/>
          <w:color w:val="333333"/>
          <w:sz w:val="32"/>
          <w:szCs w:val="32"/>
        </w:rPr>
      </w:pPr>
      <w:r>
        <w:rPr>
          <w:rFonts w:ascii="黑体" w:eastAsia="黑体" w:hAnsi="黑体" w:cs="黑体" w:hint="eastAsia"/>
          <w:color w:val="333333"/>
          <w:sz w:val="32"/>
          <w:szCs w:val="32"/>
        </w:rPr>
        <w:t>三、主要内容</w:t>
      </w:r>
    </w:p>
    <w:p w:rsidR="00083DCD" w:rsidRDefault="00083DCD" w:rsidP="00083DCD">
      <w:pPr>
        <w:spacing w:line="360" w:lineRule="auto"/>
        <w:ind w:firstLineChars="200" w:firstLine="640"/>
        <w:rPr>
          <w:rFonts w:ascii="仿宋_GB2312" w:eastAsia="仿宋_GB2312" w:hAnsi="宋体" w:cs="Arial"/>
          <w:color w:val="333333"/>
          <w:sz w:val="32"/>
          <w:szCs w:val="32"/>
        </w:rPr>
      </w:pPr>
      <w:r>
        <w:rPr>
          <w:rFonts w:ascii="仿宋_GB2312" w:eastAsia="仿宋_GB2312" w:hAnsi="宋体" w:cs="Arial" w:hint="eastAsia"/>
          <w:color w:val="333333"/>
          <w:sz w:val="32"/>
          <w:szCs w:val="32"/>
        </w:rPr>
        <w:t>《解释2号》征求意见稿草案共包括16个问题（其中第16个问题为生效日期），主要涉及以下三个方面内容：</w:t>
      </w:r>
    </w:p>
    <w:p w:rsidR="00083DCD" w:rsidRDefault="00083DCD" w:rsidP="00083DCD">
      <w:pPr>
        <w:ind w:firstLineChars="200" w:firstLine="643"/>
        <w:rPr>
          <w:rFonts w:ascii="仿宋_GB2312" w:eastAsia="仿宋_GB2312" w:hAnsi="仿宋_GB2312" w:cs="仿宋_GB2312" w:hint="eastAsia"/>
          <w:b/>
          <w:bCs/>
          <w:sz w:val="32"/>
          <w:szCs w:val="32"/>
        </w:rPr>
      </w:pPr>
      <w:r>
        <w:rPr>
          <w:rFonts w:ascii="仿宋_GB2312" w:eastAsia="仿宋_GB2312" w:hAnsi="宋体" w:cs="Arial" w:hint="eastAsia"/>
          <w:b/>
          <w:bCs/>
          <w:color w:val="333333"/>
          <w:sz w:val="32"/>
          <w:szCs w:val="32"/>
        </w:rPr>
        <w:t>（一）</w:t>
      </w:r>
      <w:r>
        <w:rPr>
          <w:rFonts w:ascii="仿宋_GB2312" w:eastAsia="仿宋_GB2312" w:hAnsi="宋体" w:cs="Arial" w:hint="eastAsia"/>
          <w:b/>
          <w:color w:val="333333"/>
          <w:sz w:val="32"/>
          <w:szCs w:val="32"/>
        </w:rPr>
        <w:t>政府会计准则制度实施中亟待解决的问题</w:t>
      </w:r>
      <w:r>
        <w:rPr>
          <w:rFonts w:ascii="仿宋_GB2312" w:eastAsia="仿宋_GB2312" w:hAnsi="宋体" w:cs="Arial" w:hint="eastAsia"/>
          <w:color w:val="333333"/>
          <w:sz w:val="32"/>
          <w:szCs w:val="32"/>
        </w:rPr>
        <w:t>，包括</w:t>
      </w:r>
      <w:r w:rsidR="007C6C7D">
        <w:rPr>
          <w:rFonts w:ascii="仿宋_GB2312" w:eastAsia="仿宋_GB2312" w:hAnsi="宋体" w:cs="Arial" w:hint="eastAsia"/>
          <w:color w:val="333333"/>
          <w:sz w:val="32"/>
          <w:szCs w:val="32"/>
        </w:rPr>
        <w:t>单位收取</w:t>
      </w:r>
      <w:r>
        <w:rPr>
          <w:rFonts w:ascii="仿宋_GB2312" w:eastAsia="仿宋_GB2312" w:hAnsi="宋体" w:cs="Arial" w:hint="eastAsia"/>
          <w:color w:val="333333"/>
          <w:sz w:val="32"/>
          <w:szCs w:val="32"/>
        </w:rPr>
        <w:t>差旅伙食费和市内交通费的账务处理、单位年末暂收暂</w:t>
      </w:r>
      <w:proofErr w:type="gramStart"/>
      <w:r>
        <w:rPr>
          <w:rFonts w:ascii="仿宋_GB2312" w:eastAsia="仿宋_GB2312" w:hAnsi="宋体" w:cs="Arial" w:hint="eastAsia"/>
          <w:color w:val="333333"/>
          <w:sz w:val="32"/>
          <w:szCs w:val="32"/>
        </w:rPr>
        <w:t>付财政</w:t>
      </w:r>
      <w:proofErr w:type="gramEnd"/>
      <w:r>
        <w:rPr>
          <w:rFonts w:ascii="仿宋_GB2312" w:eastAsia="仿宋_GB2312" w:hAnsi="宋体" w:cs="Arial" w:hint="eastAsia"/>
          <w:color w:val="333333"/>
          <w:sz w:val="32"/>
          <w:szCs w:val="32"/>
        </w:rPr>
        <w:t>拨款的账务处理、</w:t>
      </w:r>
      <w:r w:rsidRPr="00083DCD">
        <w:rPr>
          <w:rFonts w:ascii="仿宋_GB2312" w:eastAsia="仿宋_GB2312" w:hAnsi="宋体" w:cs="Arial" w:hint="eastAsia"/>
          <w:color w:val="333333"/>
          <w:sz w:val="32"/>
          <w:szCs w:val="32"/>
        </w:rPr>
        <w:t>单位在本年末以财政直接支付方式发放下年度1月份职工薪酬的财务处理、</w:t>
      </w:r>
      <w:r>
        <w:rPr>
          <w:rFonts w:ascii="仿宋_GB2312" w:eastAsia="仿宋_GB2312" w:hAnsi="宋体" w:cs="Arial" w:hint="eastAsia"/>
          <w:color w:val="333333"/>
          <w:sz w:val="32"/>
          <w:szCs w:val="32"/>
        </w:rPr>
        <w:t>单位发放职工薪</w:t>
      </w:r>
      <w:proofErr w:type="gramStart"/>
      <w:r>
        <w:rPr>
          <w:rFonts w:ascii="仿宋_GB2312" w:eastAsia="仿宋_GB2312" w:hAnsi="宋体" w:cs="Arial" w:hint="eastAsia"/>
          <w:color w:val="333333"/>
          <w:sz w:val="32"/>
          <w:szCs w:val="32"/>
        </w:rPr>
        <w:t>酬</w:t>
      </w:r>
      <w:proofErr w:type="gramEnd"/>
      <w:r>
        <w:rPr>
          <w:rFonts w:ascii="仿宋_GB2312" w:eastAsia="仿宋_GB2312" w:hAnsi="宋体" w:cs="Arial" w:hint="eastAsia"/>
          <w:color w:val="333333"/>
          <w:sz w:val="32"/>
          <w:szCs w:val="32"/>
        </w:rPr>
        <w:t>时代扣代缴业务的简化账务处理</w:t>
      </w:r>
      <w:r w:rsidR="007C6C7D">
        <w:rPr>
          <w:rFonts w:ascii="仿宋_GB2312" w:eastAsia="仿宋_GB2312" w:hAnsi="宋体" w:cs="Arial" w:hint="eastAsia"/>
          <w:color w:val="333333"/>
          <w:sz w:val="32"/>
          <w:szCs w:val="32"/>
        </w:rPr>
        <w:t>、工会和纳入部门预算管理的社会组织适用的会计制度</w:t>
      </w:r>
      <w:r>
        <w:rPr>
          <w:rFonts w:ascii="仿宋_GB2312" w:eastAsia="仿宋_GB2312" w:hAnsi="宋体" w:cs="Arial" w:hint="eastAsia"/>
          <w:color w:val="333333"/>
          <w:sz w:val="32"/>
          <w:szCs w:val="32"/>
        </w:rPr>
        <w:t>等6个问题。</w:t>
      </w:r>
    </w:p>
    <w:p w:rsidR="00083DCD" w:rsidRDefault="00083DCD" w:rsidP="00083DCD">
      <w:pPr>
        <w:spacing w:line="360" w:lineRule="auto"/>
        <w:ind w:firstLineChars="200" w:firstLine="643"/>
        <w:rPr>
          <w:rFonts w:ascii="仿宋_GB2312" w:eastAsia="仿宋_GB2312" w:hAnsi="宋体" w:cs="Arial"/>
          <w:color w:val="333333"/>
          <w:sz w:val="32"/>
          <w:szCs w:val="32"/>
        </w:rPr>
      </w:pPr>
      <w:r>
        <w:rPr>
          <w:rFonts w:ascii="仿宋_GB2312" w:eastAsia="仿宋_GB2312" w:hAnsi="宋体" w:cs="Arial" w:hint="eastAsia"/>
          <w:b/>
          <w:color w:val="333333"/>
          <w:sz w:val="32"/>
          <w:szCs w:val="32"/>
        </w:rPr>
        <w:t>（二）对政府会计准则制度有关规定做进一步解释说明的问题</w:t>
      </w:r>
      <w:r>
        <w:rPr>
          <w:rFonts w:ascii="仿宋_GB2312" w:eastAsia="仿宋_GB2312" w:hAnsi="宋体" w:cs="Arial" w:hint="eastAsia"/>
          <w:color w:val="333333"/>
          <w:sz w:val="32"/>
          <w:szCs w:val="32"/>
        </w:rPr>
        <w:t>，包括</w:t>
      </w:r>
      <w:r w:rsidR="007506C0">
        <w:rPr>
          <w:rFonts w:ascii="仿宋_GB2312" w:eastAsia="仿宋_GB2312" w:hAnsi="宋体" w:cs="Arial" w:hint="eastAsia"/>
          <w:color w:val="333333"/>
          <w:sz w:val="32"/>
          <w:szCs w:val="32"/>
        </w:rPr>
        <w:t>单位</w:t>
      </w:r>
      <w:proofErr w:type="gramStart"/>
      <w:r w:rsidR="007506C0">
        <w:rPr>
          <w:rFonts w:ascii="仿宋_GB2312" w:eastAsia="仿宋_GB2312" w:hAnsi="宋体" w:cs="Arial" w:hint="eastAsia"/>
          <w:color w:val="333333"/>
          <w:sz w:val="32"/>
          <w:szCs w:val="32"/>
        </w:rPr>
        <w:t>对于</w:t>
      </w:r>
      <w:r>
        <w:rPr>
          <w:rFonts w:ascii="仿宋_GB2312" w:eastAsia="仿宋_GB2312" w:hAnsi="宋体" w:cs="Arial" w:hint="eastAsia"/>
          <w:color w:val="333333"/>
          <w:sz w:val="32"/>
          <w:szCs w:val="32"/>
        </w:rPr>
        <w:t>归垫</w:t>
      </w:r>
      <w:proofErr w:type="gramEnd"/>
      <w:r>
        <w:rPr>
          <w:rFonts w:ascii="仿宋_GB2312" w:eastAsia="仿宋_GB2312" w:hAnsi="宋体" w:cs="Arial" w:hint="eastAsia"/>
          <w:color w:val="333333"/>
          <w:sz w:val="32"/>
          <w:szCs w:val="32"/>
        </w:rPr>
        <w:t>资金的账务处理、从本单位零余额账户向本单位实有资金账户划转资金的账务处理、关于专利权</w:t>
      </w:r>
      <w:r w:rsidR="007506C0">
        <w:rPr>
          <w:rFonts w:ascii="仿宋_GB2312" w:eastAsia="仿宋_GB2312" w:hAnsi="宋体" w:cs="Arial" w:hint="eastAsia"/>
          <w:color w:val="333333"/>
          <w:sz w:val="32"/>
          <w:szCs w:val="32"/>
        </w:rPr>
        <w:t>后续维护费</w:t>
      </w:r>
      <w:r>
        <w:rPr>
          <w:rFonts w:ascii="仿宋_GB2312" w:eastAsia="仿宋_GB2312" w:hAnsi="宋体" w:cs="Arial" w:hint="eastAsia"/>
          <w:color w:val="333333"/>
          <w:sz w:val="32"/>
          <w:szCs w:val="32"/>
        </w:rPr>
        <w:t>的会计处理、公费医疗经费的会计处理、部门（单位）合并财务报表范围等5个问题。</w:t>
      </w:r>
    </w:p>
    <w:p w:rsidR="000E4676" w:rsidRPr="00083DCD" w:rsidRDefault="00083DCD" w:rsidP="00266CFC">
      <w:pPr>
        <w:ind w:firstLineChars="200" w:firstLine="643"/>
        <w:rPr>
          <w:rFonts w:ascii="仿宋_GB2312" w:eastAsia="仿宋_GB2312" w:hAnsi="宋体" w:cs="Arial" w:hint="eastAsia"/>
          <w:color w:val="333333"/>
          <w:sz w:val="32"/>
          <w:szCs w:val="32"/>
        </w:rPr>
      </w:pPr>
      <w:r>
        <w:rPr>
          <w:rFonts w:ascii="仿宋_GB2312" w:eastAsia="仿宋_GB2312" w:hAnsi="宋体" w:cs="Arial" w:hint="eastAsia"/>
          <w:b/>
          <w:color w:val="333333"/>
          <w:sz w:val="32"/>
          <w:szCs w:val="32"/>
        </w:rPr>
        <w:t>（三）对政府会计准则制度相关规定补充和完善的问题</w:t>
      </w:r>
      <w:r>
        <w:rPr>
          <w:rFonts w:ascii="仿宋_GB2312" w:eastAsia="仿宋_GB2312" w:hAnsi="宋体" w:cs="Arial" w:hint="eastAsia"/>
          <w:color w:val="333333"/>
          <w:sz w:val="32"/>
          <w:szCs w:val="32"/>
        </w:rPr>
        <w:t>，包括</w:t>
      </w:r>
      <w:r w:rsidR="007506C0">
        <w:rPr>
          <w:rFonts w:ascii="仿宋_GB2312" w:eastAsia="仿宋_GB2312" w:hAnsi="宋体" w:cs="Arial" w:hint="eastAsia"/>
          <w:color w:val="333333"/>
          <w:sz w:val="32"/>
          <w:szCs w:val="32"/>
        </w:rPr>
        <w:t>事业单位</w:t>
      </w:r>
      <w:r w:rsidRPr="00083DCD">
        <w:rPr>
          <w:rFonts w:ascii="仿宋_GB2312" w:eastAsia="仿宋_GB2312" w:hAnsi="宋体" w:cs="Arial" w:hint="eastAsia"/>
          <w:color w:val="333333"/>
          <w:sz w:val="32"/>
          <w:szCs w:val="32"/>
        </w:rPr>
        <w:t>从财政科研项目中提取项目间接费用或管理费的账务处理、事业单位持有长期股权投资期间取得的投资收益按规定上缴财政的账务处理、纸质即开型库存彩票的会计处理和基本建设会计等4个问题。</w:t>
      </w:r>
    </w:p>
    <w:sectPr w:rsidR="000E4676" w:rsidRPr="00083DCD">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09C" w:rsidRDefault="00B3209C">
      <w:r>
        <w:separator/>
      </w:r>
    </w:p>
  </w:endnote>
  <w:endnote w:type="continuationSeparator" w:id="1">
    <w:p w:rsidR="00B3209C" w:rsidRDefault="00B320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jaVu Sans">
    <w:altName w:val="Arial Unicode MS"/>
    <w:charset w:val="00"/>
    <w:family w:val="roman"/>
    <w:pitch w:val="default"/>
    <w:sig w:usb0="00000000" w:usb1="D200FDFF" w:usb2="0A246029" w:usb3="0400200C" w:csb0="600001FF" w:csb1="DFFF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76" w:rsidRDefault="000E4676">
    <w:pPr>
      <w:pStyle w:val="a7"/>
    </w:pPr>
    <w: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7728;mso-wrap-style:none;mso-position-horizontal:center;mso-position-horizontal-relative:margin" filled="f" stroked="f">
          <v:fill o:detectmouseclick="t"/>
          <v:textbox style="mso-fit-shape-to-text:t" inset="0,0,0,0">
            <w:txbxContent>
              <w:p w:rsidR="000E4676" w:rsidRDefault="000E4676">
                <w:pPr>
                  <w:pStyle w:val="a7"/>
                  <w:rPr>
                    <w:rFonts w:hint="eastAsia"/>
                  </w:rPr>
                </w:pPr>
                <w:r>
                  <w:rPr>
                    <w:rFonts w:hint="eastAsia"/>
                  </w:rPr>
                  <w:fldChar w:fldCharType="begin"/>
                </w:r>
                <w:r>
                  <w:rPr>
                    <w:rFonts w:hint="eastAsia"/>
                  </w:rPr>
                  <w:instrText xml:space="preserve"> PAGE  \* MERGEFORMAT </w:instrText>
                </w:r>
                <w:r>
                  <w:rPr>
                    <w:rFonts w:hint="eastAsia"/>
                  </w:rPr>
                  <w:fldChar w:fldCharType="separate"/>
                </w:r>
                <w:r w:rsidR="00480457">
                  <w:rPr>
                    <w:noProof/>
                  </w:rPr>
                  <w:t>4</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09C" w:rsidRDefault="00B3209C">
      <w:r>
        <w:separator/>
      </w:r>
    </w:p>
  </w:footnote>
  <w:footnote w:type="continuationSeparator" w:id="1">
    <w:p w:rsidR="00B3209C" w:rsidRDefault="00B320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revisionView w:markup="0"/>
  <w:trackRevisions/>
  <w:doNotTrackMoves/>
  <w:defaultTabStop w:val="420"/>
  <w:drawingGridVerticalSpacing w:val="156"/>
  <w:doNotShadeFormData/>
  <w:noPunctuationKerning/>
  <w:characterSpacingControl w:val="compressPunctuation"/>
  <w:hdrShapeDefaults>
    <o:shapedefaults v:ext="edit" spidmax="3075"/>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6CFC"/>
    <w:rsid w:val="00083DCD"/>
    <w:rsid w:val="000E4676"/>
    <w:rsid w:val="001A1401"/>
    <w:rsid w:val="00266CFC"/>
    <w:rsid w:val="00480457"/>
    <w:rsid w:val="007506C0"/>
    <w:rsid w:val="007C6C7D"/>
    <w:rsid w:val="0085165B"/>
    <w:rsid w:val="00B3209C"/>
    <w:rsid w:val="0D7EC4A0"/>
    <w:rsid w:val="1BBF9303"/>
    <w:rsid w:val="1BFBE008"/>
    <w:rsid w:val="1DFFCB85"/>
    <w:rsid w:val="1EAA87BA"/>
    <w:rsid w:val="1FBE01C4"/>
    <w:rsid w:val="1FBEF829"/>
    <w:rsid w:val="27F7A42E"/>
    <w:rsid w:val="2D3BA632"/>
    <w:rsid w:val="2FDD1FF2"/>
    <w:rsid w:val="2FF30ACB"/>
    <w:rsid w:val="33D6BD1A"/>
    <w:rsid w:val="369FB511"/>
    <w:rsid w:val="36DFB80F"/>
    <w:rsid w:val="37E31DB6"/>
    <w:rsid w:val="37F73A75"/>
    <w:rsid w:val="3BCBCBFA"/>
    <w:rsid w:val="3BEE06E7"/>
    <w:rsid w:val="3CFF9E7C"/>
    <w:rsid w:val="3D9DA405"/>
    <w:rsid w:val="3E3F6E07"/>
    <w:rsid w:val="3E87E4DC"/>
    <w:rsid w:val="3EAB0813"/>
    <w:rsid w:val="47719D14"/>
    <w:rsid w:val="4FDFDBB9"/>
    <w:rsid w:val="4FEEB1CC"/>
    <w:rsid w:val="57DDCDC5"/>
    <w:rsid w:val="5A7EB426"/>
    <w:rsid w:val="5F3F94D8"/>
    <w:rsid w:val="5F6CBC4D"/>
    <w:rsid w:val="613341AC"/>
    <w:rsid w:val="616CC207"/>
    <w:rsid w:val="677B9BB5"/>
    <w:rsid w:val="67F3484C"/>
    <w:rsid w:val="6A73206A"/>
    <w:rsid w:val="6CF5EF5C"/>
    <w:rsid w:val="6DCC4262"/>
    <w:rsid w:val="6EEF604C"/>
    <w:rsid w:val="6FB762B8"/>
    <w:rsid w:val="6FBE4358"/>
    <w:rsid w:val="6FDEADD9"/>
    <w:rsid w:val="6FE6EFA4"/>
    <w:rsid w:val="75FF45DA"/>
    <w:rsid w:val="76B741AD"/>
    <w:rsid w:val="777F5A52"/>
    <w:rsid w:val="77B74D07"/>
    <w:rsid w:val="78FF846C"/>
    <w:rsid w:val="7AF3AC6C"/>
    <w:rsid w:val="7B759443"/>
    <w:rsid w:val="7BBB6110"/>
    <w:rsid w:val="7BBF0F70"/>
    <w:rsid w:val="7BFFAD2A"/>
    <w:rsid w:val="7D1F0DB1"/>
    <w:rsid w:val="7DBB9307"/>
    <w:rsid w:val="7DF6938F"/>
    <w:rsid w:val="7DFB6279"/>
    <w:rsid w:val="7E4D384B"/>
    <w:rsid w:val="7E7309DB"/>
    <w:rsid w:val="7EAF3B0F"/>
    <w:rsid w:val="7EDF8530"/>
    <w:rsid w:val="7EE3CBB2"/>
    <w:rsid w:val="7EFDFCFD"/>
    <w:rsid w:val="7EFFE48A"/>
    <w:rsid w:val="7F6F1304"/>
    <w:rsid w:val="7FB2C7D3"/>
    <w:rsid w:val="7FEE32FB"/>
    <w:rsid w:val="7FEF75E9"/>
    <w:rsid w:val="7FFF0CAC"/>
    <w:rsid w:val="7FFF23F9"/>
    <w:rsid w:val="7FFF8927"/>
    <w:rsid w:val="7FFF9A30"/>
    <w:rsid w:val="7FFFD661"/>
    <w:rsid w:val="8DD67D36"/>
    <w:rsid w:val="9DF18699"/>
    <w:rsid w:val="9FFED196"/>
    <w:rsid w:val="A7BA39BB"/>
    <w:rsid w:val="AAB70661"/>
    <w:rsid w:val="AFE25FC6"/>
    <w:rsid w:val="B2E73D38"/>
    <w:rsid w:val="B2F9B53B"/>
    <w:rsid w:val="B5FB17CF"/>
    <w:rsid w:val="B77FF80E"/>
    <w:rsid w:val="BBF77486"/>
    <w:rsid w:val="BC3F0D0E"/>
    <w:rsid w:val="BCFDAC31"/>
    <w:rsid w:val="BD77BB32"/>
    <w:rsid w:val="BDD7261C"/>
    <w:rsid w:val="BDFAD135"/>
    <w:rsid w:val="BFFFEE71"/>
    <w:rsid w:val="D1E95E86"/>
    <w:rsid w:val="D59B53AB"/>
    <w:rsid w:val="D7FD759E"/>
    <w:rsid w:val="DB49145B"/>
    <w:rsid w:val="DD1B5F09"/>
    <w:rsid w:val="DD7FC0A3"/>
    <w:rsid w:val="DDBF3589"/>
    <w:rsid w:val="DDCF0DC0"/>
    <w:rsid w:val="DEEC7479"/>
    <w:rsid w:val="DFBE2B67"/>
    <w:rsid w:val="DFECE533"/>
    <w:rsid w:val="E2FF8551"/>
    <w:rsid w:val="E6DF9D4D"/>
    <w:rsid w:val="E6F37DB7"/>
    <w:rsid w:val="E7BE0BAD"/>
    <w:rsid w:val="EEBE66FA"/>
    <w:rsid w:val="EFDB9C15"/>
    <w:rsid w:val="EFFBAA84"/>
    <w:rsid w:val="F3EB1316"/>
    <w:rsid w:val="F5F51175"/>
    <w:rsid w:val="F76F60CC"/>
    <w:rsid w:val="F7FA2E6A"/>
    <w:rsid w:val="FB773EE3"/>
    <w:rsid w:val="FB7F8C3C"/>
    <w:rsid w:val="FBBF2616"/>
    <w:rsid w:val="FBD9CB62"/>
    <w:rsid w:val="FCF76248"/>
    <w:rsid w:val="FD6B0CF1"/>
    <w:rsid w:val="FDC705D1"/>
    <w:rsid w:val="FDF092DA"/>
    <w:rsid w:val="FF7BD68C"/>
    <w:rsid w:val="FF9954FD"/>
    <w:rsid w:val="FF9E4EB6"/>
    <w:rsid w:val="FF9FB07F"/>
    <w:rsid w:val="FFBFA87F"/>
    <w:rsid w:val="FFF6040C"/>
    <w:rsid w:val="FFFB5ABE"/>
    <w:rsid w:val="FFFC883E"/>
    <w:rsid w:val="FFFF697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unhideWhenUsed="1" w:qFormat="1"/>
    <w:lsdException w:name="caption" w:semiHidden="1" w:unhideWhenUsed="1" w:qFormat="1"/>
    <w:lsdException w:name="footnote reference" w:qFormat="1"/>
    <w:lsdException w:name="Title" w:qFormat="1"/>
    <w:lsdException w:name="Default Paragraph Font" w:semiHidden="1"/>
    <w:lsdException w:name="Subtitle"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4"/>
    </w:rPr>
  </w:style>
  <w:style w:type="paragraph" w:styleId="3">
    <w:name w:val="heading 3"/>
    <w:basedOn w:val="a"/>
    <w:next w:val="a"/>
    <w:uiPriority w:val="99"/>
    <w:qFormat/>
    <w:pPr>
      <w:keepNext/>
      <w:keepLines/>
      <w:spacing w:before="260" w:after="260" w:line="416" w:lineRule="auto"/>
      <w:outlineLvl w:val="2"/>
    </w:pPr>
    <w:rPr>
      <w:rFonts w:ascii="Times New Roman" w:hAnsi="Times New Roman"/>
      <w:b/>
      <w:bCs/>
      <w:kern w:val="0"/>
      <w:sz w:val="32"/>
      <w:szCs w:val="32"/>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rPr>
  </w:style>
  <w:style w:type="character" w:styleId="a4">
    <w:name w:val="footnote reference"/>
    <w:basedOn w:val="a0"/>
    <w:qFormat/>
    <w:rPr>
      <w:vertAlign w:val="superscript"/>
    </w:rPr>
  </w:style>
  <w:style w:type="paragraph" w:styleId="a5">
    <w:name w:val="annotation text"/>
    <w:basedOn w:val="a"/>
    <w:uiPriority w:val="99"/>
    <w:unhideWhenUsed/>
    <w:qFormat/>
    <w:pPr>
      <w:jc w:val="left"/>
    </w:pPr>
    <w:rPr>
      <w:szCs w:val="22"/>
    </w:rPr>
  </w:style>
  <w:style w:type="paragraph" w:styleId="a6">
    <w:name w:val="Normal (Web)"/>
    <w:basedOn w:val="a"/>
    <w:pPr>
      <w:spacing w:before="100" w:beforeAutospacing="1" w:after="100" w:afterAutospacing="1"/>
      <w:jc w:val="left"/>
    </w:pPr>
    <w:rPr>
      <w:kern w:val="0"/>
      <w:sz w:val="24"/>
    </w:rPr>
  </w:style>
  <w:style w:type="paragraph" w:styleId="a7">
    <w:name w:val="footer"/>
    <w:basedOn w:val="a"/>
    <w:pPr>
      <w:tabs>
        <w:tab w:val="center" w:pos="4153"/>
        <w:tab w:val="right" w:pos="8306"/>
      </w:tabs>
      <w:snapToGrid w:val="0"/>
      <w:jc w:val="left"/>
    </w:pPr>
    <w:rPr>
      <w:sz w:val="18"/>
    </w:rPr>
  </w:style>
  <w:style w:type="paragraph" w:styleId="a8">
    <w:name w:val="List Paragraph"/>
    <w:basedOn w:val="a"/>
    <w:uiPriority w:val="34"/>
    <w:qFormat/>
    <w:pPr>
      <w:ind w:firstLineChars="200" w:firstLine="420"/>
    </w:pPr>
  </w:style>
  <w:style w:type="paragraph" w:styleId="a9">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aa">
    <w:name w:val="footnote text"/>
    <w:basedOn w:val="a"/>
    <w:qFormat/>
    <w:pPr>
      <w:snapToGrid w:val="0"/>
      <w:jc w:val="left"/>
    </w:pPr>
    <w:rPr>
      <w:sz w:val="18"/>
    </w:rPr>
  </w:style>
  <w:style w:type="paragraph" w:styleId="ab">
    <w:name w:val="Subtitle"/>
    <w:basedOn w:val="a"/>
    <w:next w:val="a"/>
    <w:uiPriority w:val="99"/>
    <w:qFormat/>
    <w:pPr>
      <w:spacing w:before="240" w:after="60" w:line="312" w:lineRule="auto"/>
      <w:jc w:val="center"/>
      <w:outlineLvl w:val="1"/>
    </w:pPr>
    <w:rPr>
      <w:rFonts w:ascii="Cambria" w:hAnsi="Cambria"/>
      <w:b/>
      <w:bCs/>
      <w:kern w:val="28"/>
      <w:sz w:val="32"/>
      <w:szCs w:val="32"/>
    </w:rPr>
  </w:style>
  <w:style w:type="table" w:styleId="ac">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254</Words>
  <Characters>1452</Characters>
  <Application>Microsoft Office Word</Application>
  <DocSecurity>0</DocSecurity>
  <Lines>12</Lines>
  <Paragraphs>3</Paragraphs>
  <ScaleCrop>false</ScaleCrop>
  <Company/>
  <LinksUpToDate>false</LinksUpToDate>
  <CharactersWithSpaces>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杨海峰</cp:lastModifiedBy>
  <cp:revision>7</cp:revision>
  <cp:lastPrinted>2019-09-17T02:01:00Z</cp:lastPrinted>
  <dcterms:created xsi:type="dcterms:W3CDTF">2019-09-17T06:28:00Z</dcterms:created>
  <dcterms:modified xsi:type="dcterms:W3CDTF">2019-09-26T01:11:00Z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2052-10.1.0.7398</vt:lpwstr>
  </property>
</Properties>
</file>